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一、</w:t>
      </w:r>
      <w:bookmarkStart w:id="0" w:name="_GoBack"/>
      <w:r>
        <w:rPr>
          <w:rFonts w:hint="eastAsia" w:ascii="方正小标宋简体" w:hAnsi="方正小标宋简体" w:eastAsia="方正小标宋简体" w:cs="方正小标宋简体"/>
          <w:sz w:val="44"/>
          <w:szCs w:val="44"/>
          <w:lang w:eastAsia="zh-CN"/>
        </w:rPr>
        <w:t>企业基本信息</w:t>
      </w:r>
      <w:bookmarkEnd w:id="0"/>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单位名称</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福建同利建材科技有限公司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组织机构代码</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91350121793755701B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lang w:eastAsia="zh-CN"/>
              </w:rPr>
              <w:t>法定代表人</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江其东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lang w:eastAsia="zh-CN"/>
              </w:rPr>
              <w:t>生产地址</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福建省福州市闽侯县竹岐乡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lang w:eastAsia="zh-CN"/>
              </w:rPr>
              <w:t>联系方式</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13799953866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lang w:eastAsia="zh-CN"/>
              </w:rPr>
              <w:t>生产经营和管理服务的主要内容</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年产15万m³混凝土加气砖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4" w:hRule="atLeast"/>
        </w:trPr>
        <w:tc>
          <w:tcPr>
            <w:tcW w:w="2478"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lang w:eastAsia="zh-CN"/>
              </w:rPr>
              <w:t>产品及规模</w:t>
            </w:r>
          </w:p>
        </w:tc>
        <w:tc>
          <w:tcPr>
            <w:tcW w:w="6044" w:type="dxa"/>
            <w:vAlign w:val="center"/>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项目总占地面积为44067㎡，其中办公室、食堂面积约3084.7㎡，二期工程（宿舍楼1~3#及检验车间）占地面积为1479.78㎡，建筑面积7294.33㎡，规划生产建筑面积25705㎡，其中仅建成一条加气砖生产线，并投入使用；年产15万m³混凝土加气砖</w:t>
            </w:r>
          </w:p>
        </w:tc>
      </w:tr>
    </w:tbl>
    <w:p>
      <w:pPr>
        <w:jc w:val="both"/>
        <w:rPr>
          <w:rFonts w:hint="eastAsia" w:asciiTheme="minorEastAsia" w:hAnsiTheme="minorEastAsia" w:eastAsiaTheme="minorEastAsia" w:cstheme="minorEastAsia"/>
          <w:sz w:val="32"/>
          <w:szCs w:val="32"/>
          <w:lang w:eastAsia="zh-CN"/>
        </w:rPr>
        <w:sectPr>
          <w:pgSz w:w="11906" w:h="16838"/>
          <w:pgMar w:top="1440" w:right="1800" w:bottom="1440" w:left="1800" w:header="851" w:footer="992" w:gutter="0"/>
          <w:cols w:space="425" w:num="1"/>
          <w:docGrid w:type="lines" w:linePitch="312" w:charSpace="0"/>
        </w:sectPr>
      </w:pPr>
    </w:p>
    <w:p>
      <w:pPr>
        <w:numPr>
          <w:ilvl w:val="0"/>
          <w:numId w:val="1"/>
        </w:numPr>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排污信息（第</w:t>
      </w:r>
      <w:r>
        <w:rPr>
          <w:rFonts w:hint="eastAsia" w:ascii="方正小标宋简体" w:hAnsi="方正小标宋简体" w:eastAsia="方正小标宋简体" w:cs="方正小标宋简体"/>
          <w:sz w:val="44"/>
          <w:szCs w:val="44"/>
          <w:lang w:val="en-US" w:eastAsia="zh-CN"/>
        </w:rPr>
        <w:t>X季度</w:t>
      </w:r>
      <w:r>
        <w:rPr>
          <w:rFonts w:hint="eastAsia" w:ascii="方正小标宋简体" w:hAnsi="方正小标宋简体" w:eastAsia="方正小标宋简体" w:cs="方正小标宋简体"/>
          <w:sz w:val="44"/>
          <w:szCs w:val="4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4" w:type="dxa"/>
            <w:vAlign w:val="top"/>
          </w:tcPr>
          <w:p>
            <w:pPr>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排放口</w:t>
            </w:r>
            <w:r>
              <w:rPr>
                <w:rFonts w:hint="default" w:ascii="Times New Roman" w:hAnsi="Times New Roman" w:cs="Times New Roman"/>
                <w:sz w:val="28"/>
                <w:szCs w:val="28"/>
                <w:lang w:eastAsia="zh-CN"/>
              </w:rPr>
              <w:t>名称</w:t>
            </w:r>
          </w:p>
          <w:p>
            <w:pPr>
              <w:jc w:val="center"/>
              <w:rPr>
                <w:rFonts w:hint="eastAsia" w:ascii="Times New Roman" w:hAnsi="Times New Roman" w:cs="Times New Roman" w:eastAsiaTheme="minorEastAsia"/>
                <w:kern w:val="2"/>
                <w:sz w:val="28"/>
                <w:szCs w:val="28"/>
                <w:vertAlign w:val="baseline"/>
                <w:lang w:val="en-US" w:eastAsia="zh-CN" w:bidi="ar-SA"/>
              </w:rPr>
            </w:pPr>
          </w:p>
        </w:tc>
        <w:tc>
          <w:tcPr>
            <w:tcW w:w="2025" w:type="dxa"/>
            <w:vAlign w:val="top"/>
          </w:tcPr>
          <w:p>
            <w:pPr>
              <w:jc w:val="center"/>
              <w:rPr>
                <w:rFonts w:hint="eastAsia"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lang w:eastAsia="zh-CN"/>
              </w:rPr>
              <w:t>排放方式</w:t>
            </w:r>
          </w:p>
        </w:tc>
        <w:tc>
          <w:tcPr>
            <w:tcW w:w="2025" w:type="dxa"/>
            <w:vAlign w:val="top"/>
          </w:tcPr>
          <w:p>
            <w:pPr>
              <w:jc w:val="center"/>
              <w:rPr>
                <w:rFonts w:hint="eastAsia"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lang w:eastAsia="zh-CN"/>
              </w:rPr>
              <w:t>排放口监测项目</w:t>
            </w:r>
          </w:p>
        </w:tc>
        <w:tc>
          <w:tcPr>
            <w:tcW w:w="2025" w:type="dxa"/>
            <w:vAlign w:val="top"/>
          </w:tcPr>
          <w:p>
            <w:pPr>
              <w:jc w:val="center"/>
              <w:rPr>
                <w:rFonts w:hint="eastAsia"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lang w:eastAsia="zh-CN"/>
              </w:rPr>
              <w:t>污染物</w:t>
            </w:r>
            <w:r>
              <w:rPr>
                <w:rFonts w:hint="default" w:ascii="Times New Roman" w:hAnsi="Times New Roman" w:cs="Times New Roman" w:eastAsiaTheme="minorEastAsia"/>
                <w:sz w:val="28"/>
                <w:szCs w:val="28"/>
                <w:lang w:eastAsia="zh-CN"/>
              </w:rPr>
              <w:t>浓度</w:t>
            </w:r>
          </w:p>
        </w:tc>
        <w:tc>
          <w:tcPr>
            <w:tcW w:w="2025" w:type="dxa"/>
            <w:vAlign w:val="top"/>
          </w:tcPr>
          <w:p>
            <w:pPr>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总量</w:t>
            </w:r>
          </w:p>
          <w:p>
            <w:pPr>
              <w:jc w:val="center"/>
              <w:rPr>
                <w:rFonts w:hint="eastAsia" w:ascii="Times New Roman" w:hAnsi="Times New Roman" w:cs="Times New Roman" w:eastAsiaTheme="minorEastAsia"/>
                <w:kern w:val="2"/>
                <w:sz w:val="28"/>
                <w:szCs w:val="28"/>
                <w:vertAlign w:val="baseline"/>
                <w:lang w:val="en-US" w:eastAsia="zh-CN" w:bidi="ar-SA"/>
              </w:rPr>
            </w:pPr>
          </w:p>
        </w:tc>
        <w:tc>
          <w:tcPr>
            <w:tcW w:w="2025" w:type="dxa"/>
            <w:vAlign w:val="top"/>
          </w:tcPr>
          <w:p>
            <w:pPr>
              <w:jc w:val="center"/>
              <w:rPr>
                <w:rFonts w:hint="eastAsia"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eastAsiaTheme="minorEastAsia"/>
                <w:sz w:val="28"/>
                <w:szCs w:val="28"/>
                <w:lang w:eastAsia="zh-CN"/>
              </w:rPr>
              <w:t>超标情况</w:t>
            </w:r>
          </w:p>
        </w:tc>
        <w:tc>
          <w:tcPr>
            <w:tcW w:w="2025" w:type="dxa"/>
            <w:vAlign w:val="top"/>
          </w:tcPr>
          <w:p>
            <w:pPr>
              <w:jc w:val="center"/>
              <w:rPr>
                <w:rFonts w:hint="eastAsia"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eastAsiaTheme="minorEastAsia"/>
                <w:sz w:val="28"/>
                <w:szCs w:val="28"/>
                <w:lang w:eastAsia="zh-CN"/>
              </w:rPr>
              <w:t>执行的污染物排放标准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4"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WS-0001</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由单独排放口排放至西南侧溪流</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pH值、氨氮、化学需氧量、磷酸盐（以P计）、生化需氧量、悬浮物</w:t>
            </w:r>
          </w:p>
        </w:tc>
        <w:tc>
          <w:tcPr>
            <w:tcW w:w="2025" w:type="dxa"/>
            <w:vAlign w:val="top"/>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pH值：6-9；</w:t>
            </w:r>
          </w:p>
          <w:p>
            <w:pPr>
              <w:jc w:val="center"/>
              <w:rPr>
                <w:rFonts w:hint="eastAsia"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氨氮＜15mg/</w:t>
            </w:r>
            <w:r>
              <w:rPr>
                <w:rFonts w:hint="eastAsia" w:ascii="Times New Roman" w:hAnsi="Times New Roman" w:cs="Times New Roman"/>
                <w:sz w:val="21"/>
                <w:szCs w:val="21"/>
                <w:vertAlign w:val="baseline"/>
                <w:lang w:val="en-US" w:eastAsia="zh-CN"/>
              </w:rPr>
              <w:t>L</w:t>
            </w:r>
            <w:r>
              <w:rPr>
                <w:rFonts w:hint="default" w:ascii="Times New Roman" w:hAnsi="Times New Roman" w:cs="Times New Roman"/>
                <w:sz w:val="21"/>
                <w:szCs w:val="21"/>
                <w:vertAlign w:val="baseline"/>
                <w:lang w:val="en-US" w:eastAsia="zh-CN"/>
              </w:rPr>
              <w:t>；COD＜</w:t>
            </w:r>
            <w:r>
              <w:rPr>
                <w:rFonts w:hint="eastAsia" w:ascii="Times New Roman" w:hAnsi="Times New Roman" w:cs="Times New Roman"/>
                <w:sz w:val="21"/>
                <w:szCs w:val="21"/>
                <w:vertAlign w:val="baseline"/>
                <w:lang w:val="en-US" w:eastAsia="zh-CN"/>
              </w:rPr>
              <w:t>100</w:t>
            </w:r>
            <w:r>
              <w:rPr>
                <w:rFonts w:hint="default" w:ascii="Times New Roman" w:hAnsi="Times New Roman" w:cs="Times New Roman"/>
                <w:sz w:val="21"/>
                <w:szCs w:val="21"/>
                <w:vertAlign w:val="baseline"/>
                <w:lang w:val="en-US" w:eastAsia="zh-CN"/>
              </w:rPr>
              <w:t>mg/</w:t>
            </w:r>
            <w:r>
              <w:rPr>
                <w:rFonts w:hint="eastAsia" w:ascii="Times New Roman" w:hAnsi="Times New Roman" w:cs="Times New Roman"/>
                <w:sz w:val="21"/>
                <w:szCs w:val="21"/>
                <w:vertAlign w:val="baseline"/>
                <w:lang w:val="en-US" w:eastAsia="zh-CN"/>
              </w:rPr>
              <w:t>L；磷酸盐（以P计）</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0.5</w:t>
            </w:r>
            <w:r>
              <w:rPr>
                <w:rFonts w:hint="default" w:ascii="Times New Roman" w:hAnsi="Times New Roman" w:cs="Times New Roman"/>
                <w:sz w:val="21"/>
                <w:szCs w:val="21"/>
                <w:vertAlign w:val="baseline"/>
                <w:lang w:val="en-US" w:eastAsia="zh-CN"/>
              </w:rPr>
              <w:t>mg</w:t>
            </w:r>
            <w:r>
              <w:rPr>
                <w:rFonts w:hint="eastAsia" w:ascii="Times New Roman" w:hAnsi="Times New Roman" w:cs="Times New Roman"/>
                <w:sz w:val="21"/>
                <w:szCs w:val="21"/>
                <w:vertAlign w:val="baseline"/>
                <w:lang w:val="en-US" w:eastAsia="zh-CN"/>
              </w:rPr>
              <w:t>/L；BOD</w:t>
            </w:r>
            <w:r>
              <w:rPr>
                <w:rFonts w:hint="eastAsia" w:ascii="Times New Roman" w:hAnsi="Times New Roman" w:cs="Times New Roman"/>
                <w:sz w:val="21"/>
                <w:szCs w:val="21"/>
                <w:vertAlign w:val="subscript"/>
                <w:lang w:val="en-US" w:eastAsia="zh-CN"/>
              </w:rPr>
              <w:t>5</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mg/</w:t>
            </w:r>
            <w:r>
              <w:rPr>
                <w:rFonts w:hint="eastAsia" w:ascii="Times New Roman" w:hAnsi="Times New Roman" w:cs="Times New Roman"/>
                <w:sz w:val="21"/>
                <w:szCs w:val="21"/>
                <w:vertAlign w:val="baseline"/>
                <w:lang w:val="en-US" w:eastAsia="zh-CN"/>
              </w:rPr>
              <w:t>L；SS＜70</w:t>
            </w:r>
            <w:r>
              <w:rPr>
                <w:rFonts w:hint="default" w:ascii="Times New Roman" w:hAnsi="Times New Roman" w:cs="Times New Roman"/>
                <w:sz w:val="21"/>
                <w:szCs w:val="21"/>
                <w:vertAlign w:val="baseline"/>
                <w:lang w:val="en-US" w:eastAsia="zh-CN"/>
              </w:rPr>
              <w:t>mg/</w:t>
            </w:r>
            <w:r>
              <w:rPr>
                <w:rFonts w:hint="eastAsia" w:ascii="Times New Roman" w:hAnsi="Times New Roman" w:cs="Times New Roman"/>
                <w:sz w:val="21"/>
                <w:szCs w:val="21"/>
                <w:vertAlign w:val="baseline"/>
                <w:lang w:val="en-US" w:eastAsia="zh-CN"/>
              </w:rPr>
              <w:t>L</w:t>
            </w:r>
          </w:p>
        </w:tc>
        <w:tc>
          <w:tcPr>
            <w:tcW w:w="2025" w:type="dxa"/>
            <w:vAlign w:val="top"/>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COD：0.106t/a</w:t>
            </w:r>
          </w:p>
          <w:p>
            <w:pPr>
              <w:jc w:val="center"/>
              <w:rPr>
                <w:rFonts w:hint="eastAsia"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氨氮：0.011t/a</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无</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eastAsia="zh-CN"/>
              </w:rPr>
              <w:t>污水综合排放标准</w:t>
            </w:r>
            <w:r>
              <w:rPr>
                <w:rFonts w:hint="default" w:ascii="Times New Roman" w:hAnsi="Times New Roman" w:cs="Times New Roman"/>
                <w:sz w:val="21"/>
                <w:szCs w:val="21"/>
                <w:vertAlign w:val="baseline"/>
                <w:lang w:eastAsia="zh-CN"/>
              </w:rPr>
              <w:t>（GB8978-1996）1998 年 1 月 1 日起建成（包括改、扩建）的单位/适用排污单位范围/一般的排污单位/一级标准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4"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FQ-0001</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由35m排气筒排放</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颗粒物、二氧化硫、氮氧化物、林格曼黑度</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颗粒物＜30</w:t>
            </w:r>
            <w:r>
              <w:rPr>
                <w:rFonts w:hint="default" w:ascii="Times New Roman" w:hAnsi="Times New Roman" w:cs="Times New Roman"/>
                <w:sz w:val="21"/>
                <w:szCs w:val="21"/>
                <w:vertAlign w:val="baseline"/>
                <w:lang w:val="en-US" w:eastAsia="zh-CN"/>
              </w:rPr>
              <w:t>mg/m³</w:t>
            </w:r>
            <w:r>
              <w:rPr>
                <w:rFonts w:hint="eastAsia" w:ascii="Times New Roman" w:hAnsi="Times New Roman" w:cs="Times New Roman"/>
                <w:sz w:val="21"/>
                <w:szCs w:val="21"/>
                <w:vertAlign w:val="baseline"/>
                <w:lang w:val="en-US" w:eastAsia="zh-CN"/>
              </w:rPr>
              <w:t>；氮氧化物＜200</w:t>
            </w:r>
            <w:r>
              <w:rPr>
                <w:rFonts w:hint="default" w:ascii="Times New Roman" w:hAnsi="Times New Roman" w:cs="Times New Roman"/>
                <w:sz w:val="21"/>
                <w:szCs w:val="21"/>
                <w:vertAlign w:val="baseline"/>
                <w:lang w:val="en-US" w:eastAsia="zh-CN"/>
              </w:rPr>
              <w:t>mg/m³</w:t>
            </w:r>
            <w:r>
              <w:rPr>
                <w:rFonts w:hint="eastAsia" w:ascii="Times New Roman" w:hAnsi="Times New Roman" w:cs="Times New Roman"/>
                <w:sz w:val="21"/>
                <w:szCs w:val="21"/>
                <w:vertAlign w:val="baseline"/>
                <w:lang w:val="en-US" w:eastAsia="zh-CN"/>
              </w:rPr>
              <w:t>；二氧化硫＜200</w:t>
            </w:r>
            <w:r>
              <w:rPr>
                <w:rFonts w:hint="default" w:ascii="Times New Roman" w:hAnsi="Times New Roman" w:cs="Times New Roman"/>
                <w:sz w:val="21"/>
                <w:szCs w:val="21"/>
                <w:vertAlign w:val="baseline"/>
                <w:lang w:val="en-US" w:eastAsia="zh-CN"/>
              </w:rPr>
              <w:t>mg/m³</w:t>
            </w:r>
            <w:r>
              <w:rPr>
                <w:rFonts w:hint="eastAsia" w:ascii="Times New Roman" w:hAnsi="Times New Roman" w:cs="Times New Roman"/>
                <w:sz w:val="21"/>
                <w:szCs w:val="21"/>
                <w:vertAlign w:val="baseline"/>
                <w:lang w:val="en-US" w:eastAsia="zh-CN"/>
              </w:rPr>
              <w:t>；林格曼黑度＜1级</w:t>
            </w:r>
          </w:p>
        </w:tc>
        <w:tc>
          <w:tcPr>
            <w:tcW w:w="2025" w:type="dxa"/>
            <w:vAlign w:val="top"/>
          </w:tcPr>
          <w:p>
            <w:pPr>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SO</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：5.63t/a</w:t>
            </w:r>
          </w:p>
        </w:tc>
        <w:tc>
          <w:tcPr>
            <w:tcW w:w="2025" w:type="dxa"/>
            <w:vAlign w:val="top"/>
          </w:tcPr>
          <w:p>
            <w:pPr>
              <w:jc w:val="center"/>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无</w:t>
            </w:r>
          </w:p>
        </w:tc>
        <w:tc>
          <w:tcPr>
            <w:tcW w:w="2025" w:type="dxa"/>
            <w:vAlign w:val="top"/>
          </w:tcPr>
          <w:p>
            <w:pPr>
              <w:jc w:val="center"/>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eastAsiaTheme="minorEastAsia"/>
                <w:sz w:val="21"/>
                <w:szCs w:val="21"/>
                <w:vertAlign w:val="baseline"/>
                <w:lang w:eastAsia="zh-CN"/>
              </w:rPr>
              <w:t>《锅炉大气污染物排放标准》</w:t>
            </w:r>
          </w:p>
          <w:p>
            <w:pPr>
              <w:jc w:val="both"/>
              <w:rPr>
                <w:rFonts w:hint="eastAsia"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eastAsia="zh-CN"/>
              </w:rPr>
              <w:t>（</w:t>
            </w:r>
            <w:r>
              <w:rPr>
                <w:rFonts w:hint="default" w:ascii="Times New Roman" w:hAnsi="Times New Roman" w:cs="Times New Roman" w:eastAsiaTheme="minorEastAsia"/>
                <w:sz w:val="21"/>
                <w:szCs w:val="21"/>
                <w:vertAlign w:val="baseline"/>
                <w:lang w:eastAsia="zh-CN"/>
              </w:rPr>
              <w:t>GB-13271-2014</w:t>
            </w:r>
            <w:r>
              <w:rPr>
                <w:rFonts w:hint="eastAsia" w:ascii="Times New Roman" w:hAnsi="Times New Roman" w:cs="Times New Roman"/>
                <w:sz w:val="21"/>
                <w:szCs w:val="21"/>
                <w:vertAlign w:val="baseline"/>
                <w:lang w:eastAsia="zh-CN"/>
              </w:rPr>
              <w:t>）重点地区锅炉执行的大气污染物特别排放限值/燃煤锅炉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4"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c>
          <w:tcPr>
            <w:tcW w:w="2025"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c>
          <w:tcPr>
            <w:tcW w:w="2025"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c>
          <w:tcPr>
            <w:tcW w:w="2025"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c>
          <w:tcPr>
            <w:tcW w:w="2025"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c>
          <w:tcPr>
            <w:tcW w:w="2025"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c>
          <w:tcPr>
            <w:tcW w:w="2025" w:type="dxa"/>
          </w:tcPr>
          <w:p>
            <w:pPr>
              <w:numPr>
                <w:numId w:val="0"/>
              </w:numPr>
              <w:spacing w:line="240" w:lineRule="auto"/>
              <w:jc w:val="both"/>
              <w:rPr>
                <w:rFonts w:hint="eastAsia" w:ascii="方正小标宋简体" w:hAnsi="方正小标宋简体" w:eastAsia="方正小标宋简体" w:cs="方正小标宋简体"/>
                <w:sz w:val="44"/>
                <w:szCs w:val="44"/>
                <w:vertAlign w:val="baseline"/>
                <w:lang w:eastAsia="zh-CN"/>
              </w:rPr>
            </w:pPr>
          </w:p>
        </w:tc>
      </w:tr>
    </w:tbl>
    <w:p>
      <w:pPr>
        <w:jc w:val="both"/>
        <w:rPr>
          <w:rFonts w:hint="eastAsia" w:asciiTheme="minorEastAsia" w:hAnsiTheme="minorEastAsia" w:eastAsiaTheme="minorEastAsia" w:cstheme="minorEastAsia"/>
          <w:sz w:val="28"/>
          <w:szCs w:val="28"/>
          <w:lang w:eastAsia="zh-CN"/>
        </w:rPr>
      </w:pPr>
    </w:p>
    <w:p>
      <w:pPr>
        <w:jc w:val="center"/>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lang w:eastAsia="zh-CN"/>
        </w:rPr>
        <w:t>三、防治污染设施的建设和运行情况</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14174" w:type="dxa"/>
          </w:tcPr>
          <w:p>
            <w:pPr>
              <w:ind w:left="0" w:leftChars="0" w:firstLine="420" w:firstLineChars="175"/>
              <w:jc w:val="left"/>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福建同利建材科技有限公司共建有一套一体化生活污水处理设施，处理能力为10t/d；处理工艺为：水解酸化、好氧接触氧化、竖流式沉淀；生活废水经处理满足《污水综合排放标准》（GB8978-1996）表 4 中一级标准后排入西南侧溪流。锅炉废气建有一套湿法高压静电除尘处理设施，处理能力为 45000m3/h,去除 97%以上烟尘,满足《锅炉大气污染物排放标准》（GB13271-2014）表 3 中燃煤锅炉排放浓度限值后由 35m 高烟囱排入大气。</w:t>
            </w:r>
          </w:p>
          <w:p>
            <w:pPr>
              <w:ind w:left="0" w:leftChars="0" w:firstLine="420" w:firstLineChars="175"/>
              <w:jc w:val="left"/>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工业废水及生活污水：生活污水经一套一体化生活污水处理设施处理后排入西南侧溪流。</w:t>
            </w:r>
          </w:p>
          <w:p>
            <w:pPr>
              <w:ind w:left="0" w:leftChars="0" w:firstLine="420" w:firstLineChars="175"/>
              <w:jc w:val="left"/>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废气：锅炉废气经一套湿法静电除尘设施处理后排入大气，排放高度为 35m。</w:t>
            </w:r>
          </w:p>
          <w:p>
            <w:pPr>
              <w:ind w:left="0" w:leftChars="0" w:firstLine="420" w:firstLineChars="175"/>
              <w:jc w:val="left"/>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工业固体废物或危险废物：生产过程产生的废边角料、残次品全部破碎后回用于生产；锅炉燃烧产生的炉渣经收集后无偿供给周边农民果林堆肥，不外排。</w:t>
            </w:r>
          </w:p>
          <w:p>
            <w:pPr>
              <w:ind w:left="0" w:leftChars="0" w:firstLine="420" w:firstLineChars="175"/>
              <w:jc w:val="left"/>
              <w:rPr>
                <w:rFonts w:hint="eastAsia" w:ascii="方正小标宋简体" w:hAnsi="方正小标宋简体" w:eastAsia="方正小标宋简体" w:cs="方正小标宋简体"/>
                <w:sz w:val="24"/>
                <w:szCs w:val="24"/>
                <w:vertAlign w:val="baseline"/>
                <w:lang w:eastAsia="zh-CN"/>
              </w:rPr>
            </w:pPr>
          </w:p>
        </w:tc>
      </w:tr>
    </w:tbl>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四、建设项目环境影响评价及其他环境保护行政许可情况</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14174" w:type="dxa"/>
          </w:tcPr>
          <w:p>
            <w:pPr>
              <w:ind w:left="0" w:leftChars="0" w:firstLine="836" w:firstLineChars="190"/>
              <w:jc w:val="left"/>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福建省华夏建筑设计院于2006年12月编制了《福建同利建材科技有限公司项目》环境影响评价报告表，2007年10月闽侯县环境保护局对《福建同利建材科技有限公司项目环境影响报告表》做出审批意见。2018年8月公司委托福建致诚环境工程咨询有限公司完成福建同利建材科技有限公司项目（阶段性）验收，并通过网上申报。</w:t>
            </w:r>
          </w:p>
        </w:tc>
      </w:tr>
    </w:tbl>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五、突发环境事件应急预案</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14174" w:type="dxa"/>
          </w:tcPr>
          <w:p>
            <w:pPr>
              <w:jc w:val="center"/>
              <w:rPr>
                <w:rFonts w:hint="default"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无</w:t>
            </w:r>
          </w:p>
        </w:tc>
      </w:tr>
    </w:tbl>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六、其他应当公开的环境信息</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14174" w:type="dxa"/>
          </w:tcPr>
          <w:p>
            <w:pPr>
              <w:jc w:val="center"/>
              <w:rPr>
                <w:rFonts w:hint="default"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无</w:t>
            </w:r>
          </w:p>
        </w:tc>
      </w:tr>
    </w:tbl>
    <w:p>
      <w:pPr>
        <w:jc w:val="both"/>
        <w:rPr>
          <w:rFonts w:hint="eastAsia" w:ascii="方正小标宋简体" w:hAnsi="方正小标宋简体" w:eastAsia="方正小标宋简体" w:cs="方正小标宋简体"/>
          <w:sz w:val="10"/>
          <w:szCs w:val="10"/>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BD4E6"/>
    <w:multiLevelType w:val="singleLevel"/>
    <w:tmpl w:val="4A4BD4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B407E"/>
    <w:rsid w:val="1EA22C09"/>
    <w:rsid w:val="4BAB407E"/>
    <w:rsid w:val="61156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2017-07-04T04:50:00Z</dcterms:created>
  <dc:creator>Administrator</dc:creator>
  <cp:lastModifiedBy>秦阿飞</cp:lastModifiedBy>
  <dcterms:modified xsi:type="dcterms:W3CDTF">2021-06-10T03:13:06Z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